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A05D7EC" w14:textId="77777777" w:rsidR="000914FB" w:rsidRDefault="000914FB">
      <w:pPr>
        <w:spacing w:after="0" w:line="360" w:lineRule="exact"/>
        <w:jc w:val="center"/>
        <w:rPr>
          <w:rFonts w:cstheme="minorHAnsi"/>
          <w:b/>
          <w:u w:val="single"/>
          <w:lang w:val="ro-RO"/>
        </w:rPr>
      </w:pPr>
    </w:p>
    <w:p w14:paraId="62F66BE0" w14:textId="4E06ECBA" w:rsidR="000914FB" w:rsidRDefault="000914FB" w:rsidP="000914FB">
      <w:pPr>
        <w:pStyle w:val="Default"/>
        <w:jc w:val="center"/>
        <w:rPr>
          <w:rFonts w:cstheme="minorHAnsi"/>
          <w:b/>
          <w:lang w:val="ro-RO"/>
        </w:rPr>
      </w:pPr>
      <w:r w:rsidRPr="000914FB">
        <w:rPr>
          <w:rFonts w:cstheme="minorHAnsi"/>
          <w:b/>
          <w:lang w:val="ro-RO"/>
        </w:rPr>
        <w:t>SCULE SI UNELTE</w:t>
      </w:r>
    </w:p>
    <w:p w14:paraId="30BEE27D" w14:textId="77777777" w:rsidR="000914FB" w:rsidRDefault="000914FB" w:rsidP="000914FB">
      <w:pPr>
        <w:pStyle w:val="Default"/>
        <w:jc w:val="center"/>
        <w:rPr>
          <w:rFonts w:cstheme="minorHAnsi"/>
          <w:b/>
          <w:lang w:val="ro-RO"/>
        </w:rPr>
      </w:pPr>
    </w:p>
    <w:p w14:paraId="422D11AB" w14:textId="1A7938B1" w:rsidR="000914FB" w:rsidRPr="000914FB" w:rsidRDefault="00177809" w:rsidP="000914FB">
      <w:pPr>
        <w:pStyle w:val="Default"/>
        <w:jc w:val="center"/>
        <w:rPr>
          <w:b/>
          <w:lang w:val="fr-FR"/>
        </w:rPr>
      </w:pPr>
      <w:r w:rsidRPr="000914FB">
        <w:rPr>
          <w:rFonts w:cstheme="minorHAnsi"/>
          <w:b/>
          <w:lang w:val="ro-RO"/>
        </w:rPr>
        <w:t xml:space="preserve">LOT </w:t>
      </w:r>
      <w:r w:rsidR="00FC629C">
        <w:rPr>
          <w:rFonts w:cstheme="minorHAnsi"/>
          <w:b/>
          <w:lang w:val="ro-RO"/>
        </w:rPr>
        <w:t>6</w:t>
      </w:r>
      <w:r w:rsidR="000914FB">
        <w:rPr>
          <w:b/>
          <w:lang w:val="fr-FR"/>
        </w:rPr>
        <w:t xml:space="preserve"> : </w:t>
      </w:r>
      <w:r w:rsidR="00FC629C" w:rsidRPr="00FC629C">
        <w:rPr>
          <w:b/>
          <w:bCs/>
        </w:rPr>
        <w:t>Masina de topit mastic bituminos - 6  bucati</w:t>
      </w:r>
    </w:p>
    <w:p w14:paraId="3A0C8CC4" w14:textId="560BB738" w:rsidR="00A645A6" w:rsidRDefault="00A645A6">
      <w:pPr>
        <w:spacing w:after="0" w:line="360" w:lineRule="exact"/>
        <w:jc w:val="center"/>
        <w:rPr>
          <w:rFonts w:cstheme="minorHAnsi"/>
          <w:b/>
          <w:u w:val="single"/>
          <w:lang w:val="ro-RO"/>
        </w:rPr>
      </w:pPr>
    </w:p>
    <w:p w14:paraId="0F4B9763" w14:textId="77777777" w:rsidR="00A645A6" w:rsidRDefault="00A645A6">
      <w:pPr>
        <w:spacing w:after="0" w:line="360" w:lineRule="exact"/>
        <w:jc w:val="both"/>
        <w:rPr>
          <w:rFonts w:eastAsia="Calibri" w:cstheme="minorHAnsi"/>
          <w:i/>
          <w:highlight w:val="lightGray"/>
          <w:lang w:val="ro-RO"/>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r>
        <w:rPr>
          <w:rFonts w:asciiTheme="minorHAnsi" w:eastAsia="Calibri" w:hAnsiTheme="minorHAnsi" w:cstheme="minorHAnsi"/>
          <w:color w:val="auto"/>
          <w:sz w:val="22"/>
          <w:szCs w:val="22"/>
          <w:lang w:val="en-GB"/>
        </w:rPr>
        <w:lastRenderedPageBreak/>
        <w:t>Rezumat</w:t>
      </w:r>
      <w:bookmarkEnd w:id="0"/>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Descriere produse </w:t>
      </w:r>
    </w:p>
    <w:p w14:paraId="0D0ADC54" w14:textId="70112E42" w:rsidR="00D13E7C" w:rsidRPr="007D1291" w:rsidRDefault="00195F31" w:rsidP="00D13E7C">
      <w:pPr>
        <w:pStyle w:val="Heading1"/>
        <w:numPr>
          <w:ilvl w:val="1"/>
          <w:numId w:val="1"/>
        </w:numPr>
        <w:spacing w:before="0" w:line="360" w:lineRule="exact"/>
        <w:rPr>
          <w:rFonts w:ascii="Times New Roman" w:hAnsi="Times New Roman" w:cs="Times New Roman"/>
          <w:color w:val="000000" w:themeColor="text1"/>
          <w:sz w:val="24"/>
          <w:szCs w:val="24"/>
          <w:lang w:val="ro-RO"/>
        </w:rPr>
      </w:pPr>
      <w:r w:rsidRPr="000914FB">
        <w:rPr>
          <w:rFonts w:asciiTheme="minorHAnsi" w:eastAsia="Calibri" w:hAnsiTheme="minorHAnsi" w:cstheme="minorHAnsi"/>
          <w:color w:val="auto"/>
          <w:sz w:val="22"/>
          <w:szCs w:val="22"/>
          <w:lang w:val="fr-BE"/>
        </w:rPr>
        <w:t xml:space="preserve">Denumire </w:t>
      </w:r>
      <w:r w:rsidRPr="00FC629C">
        <w:rPr>
          <w:rFonts w:asciiTheme="minorHAnsi" w:eastAsia="Calibri" w:hAnsiTheme="minorHAnsi" w:cstheme="minorHAnsi"/>
          <w:color w:val="000000" w:themeColor="text1"/>
          <w:sz w:val="22"/>
          <w:szCs w:val="22"/>
          <w:lang w:val="fr-BE"/>
        </w:rPr>
        <w:t xml:space="preserve">produs  </w:t>
      </w:r>
      <w:r w:rsidR="00FC629C" w:rsidRPr="00FC629C">
        <w:rPr>
          <w:rFonts w:ascii="Times New Roman" w:hAnsi="Times New Roman" w:cs="Times New Roman"/>
          <w:color w:val="000000" w:themeColor="text1"/>
          <w:sz w:val="24"/>
          <w:szCs w:val="24"/>
        </w:rPr>
        <w:t>Masina de topit mastic bituminos - 6  bucati</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05C98F20" w14:textId="0933A656" w:rsidR="00FC629C" w:rsidRPr="00FC629C" w:rsidRDefault="00FC629C" w:rsidP="009F5367">
            <w:pPr>
              <w:spacing w:after="0" w:line="240" w:lineRule="auto"/>
              <w:jc w:val="center"/>
              <w:rPr>
                <w:b/>
                <w:bCs/>
                <w:lang w:val="ro-RO"/>
              </w:rPr>
            </w:pPr>
            <w:r w:rsidRPr="00FC629C">
              <w:rPr>
                <w:rFonts w:ascii="Times New Roman" w:hAnsi="Times New Roman" w:cs="Times New Roman"/>
                <w:b/>
                <w:bCs/>
                <w:sz w:val="24"/>
                <w:szCs w:val="24"/>
              </w:rPr>
              <w:t xml:space="preserve">Masina de topit mastic bituminos 6  </w:t>
            </w:r>
          </w:p>
          <w:p w14:paraId="2CE29D2D" w14:textId="49FF5C4E" w:rsidR="00E95F84" w:rsidRDefault="00E95F84" w:rsidP="00736468">
            <w:pPr>
              <w:jc w:val="center"/>
              <w:rPr>
                <w:lang w:val="ro-RO"/>
              </w:rPr>
            </w:pPr>
          </w:p>
        </w:tc>
        <w:tc>
          <w:tcPr>
            <w:tcW w:w="1097" w:type="dxa"/>
            <w:vAlign w:val="center"/>
          </w:tcPr>
          <w:p w14:paraId="0CB49E91" w14:textId="15C66DDA" w:rsidR="00E95F84" w:rsidRDefault="00E95F84" w:rsidP="00736468">
            <w:pPr>
              <w:jc w:val="center"/>
              <w:rPr>
                <w:lang w:val="ro-RO"/>
              </w:rPr>
            </w:pPr>
            <w:r w:rsidRPr="00F764F9">
              <w:rPr>
                <w:rFonts w:ascii="Times New Roman" w:hAnsi="Times New Roman" w:cs="Times New Roman"/>
                <w:b/>
                <w:sz w:val="24"/>
                <w:szCs w:val="24"/>
                <w:lang w:val="ro-RO"/>
              </w:rPr>
              <w:t>buc.</w:t>
            </w:r>
          </w:p>
        </w:tc>
        <w:tc>
          <w:tcPr>
            <w:tcW w:w="1837" w:type="dxa"/>
            <w:vAlign w:val="center"/>
          </w:tcPr>
          <w:p w14:paraId="0833E4A4" w14:textId="7870F6FE" w:rsidR="00E95F84" w:rsidRDefault="00E95F84" w:rsidP="00736468">
            <w:pPr>
              <w:jc w:val="center"/>
              <w:rPr>
                <w:lang w:val="ro-RO"/>
              </w:rPr>
            </w:pPr>
            <w:r>
              <w:rPr>
                <w:rFonts w:ascii="Times New Roman" w:hAnsi="Times New Roman"/>
                <w:sz w:val="24"/>
                <w:szCs w:val="24"/>
              </w:rPr>
              <w:t>Sectia de Drumuri Nationale Fetesti, strada Depoului, nr.57, jud. Ialomita</w:t>
            </w:r>
            <w:r w:rsidRPr="00DF57F8">
              <w:rPr>
                <w:rFonts w:ascii="Times New Roman" w:hAnsi="Times New Roman"/>
                <w:sz w:val="24"/>
                <w:szCs w:val="24"/>
              </w:rPr>
              <w:t>.</w:t>
            </w:r>
          </w:p>
        </w:tc>
        <w:tc>
          <w:tcPr>
            <w:tcW w:w="1535" w:type="dxa"/>
            <w:vAlign w:val="center"/>
          </w:tcPr>
          <w:p w14:paraId="49D71163" w14:textId="0FD0670A" w:rsidR="00E95F84" w:rsidRDefault="00E95F84" w:rsidP="00736468">
            <w:pPr>
              <w:jc w:val="center"/>
              <w:rPr>
                <w:lang w:val="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67B26BE2" w14:textId="77777777" w:rsidR="001C641E" w:rsidRPr="00DD27F4" w:rsidRDefault="001C641E" w:rsidP="001C641E">
            <w:pPr>
              <w:spacing w:after="0" w:line="240" w:lineRule="auto"/>
              <w:rPr>
                <w:rFonts w:ascii="Times New Roman" w:hAnsi="Times New Roman"/>
                <w:b/>
                <w:sz w:val="24"/>
                <w:szCs w:val="24"/>
              </w:rPr>
            </w:pPr>
            <w:r w:rsidRPr="00DD27F4">
              <w:rPr>
                <w:rFonts w:ascii="Times New Roman" w:hAnsi="Times New Roman"/>
                <w:b/>
                <w:sz w:val="24"/>
                <w:szCs w:val="24"/>
              </w:rPr>
              <w:t>Utilaj:</w:t>
            </w:r>
          </w:p>
          <w:p w14:paraId="42E1B68F" w14:textId="77777777" w:rsidR="001C641E" w:rsidRPr="007D6434" w:rsidRDefault="001C641E" w:rsidP="001C641E">
            <w:pPr>
              <w:spacing w:after="0" w:line="240" w:lineRule="auto"/>
              <w:jc w:val="both"/>
              <w:rPr>
                <w:rFonts w:ascii="Times New Roman" w:hAnsi="Times New Roman"/>
                <w:sz w:val="24"/>
                <w:szCs w:val="24"/>
              </w:rPr>
            </w:pPr>
            <w:r>
              <w:rPr>
                <w:rFonts w:ascii="Times New Roman" w:hAnsi="Times New Roman"/>
                <w:sz w:val="24"/>
                <w:szCs w:val="24"/>
              </w:rPr>
              <w:t>-</w:t>
            </w:r>
            <w:r w:rsidRPr="007D6434">
              <w:rPr>
                <w:rFonts w:ascii="Times New Roman" w:hAnsi="Times New Roman"/>
                <w:sz w:val="24"/>
                <w:szCs w:val="24"/>
              </w:rPr>
              <w:t>utilaj specializat pentru topirea masticului bitumos, montat pe sasiu cu 3 roti dintre care una directionala;</w:t>
            </w:r>
          </w:p>
          <w:p w14:paraId="682576A5" w14:textId="77777777" w:rsidR="001C641E" w:rsidRPr="007D6434" w:rsidRDefault="001C641E" w:rsidP="001C641E">
            <w:pPr>
              <w:spacing w:after="0" w:line="240" w:lineRule="auto"/>
              <w:jc w:val="both"/>
              <w:rPr>
                <w:rFonts w:ascii="Times New Roman" w:hAnsi="Times New Roman"/>
                <w:sz w:val="24"/>
                <w:szCs w:val="24"/>
              </w:rPr>
            </w:pPr>
            <w:r w:rsidRPr="007D6434">
              <w:rPr>
                <w:rFonts w:ascii="Times New Roman" w:hAnsi="Times New Roman"/>
                <w:sz w:val="24"/>
                <w:szCs w:val="24"/>
              </w:rPr>
              <w:t>- capacitate cazan de topire de 49 litri cu izolare dubla cazan</w:t>
            </w:r>
          </w:p>
          <w:p w14:paraId="00458AF6"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 productivitate :1000 – 1500 metri/zi</w:t>
            </w:r>
          </w:p>
          <w:p w14:paraId="06F0ABE1"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 incalzire indirecta , instalatie pe gaz cu arzator interior alimentat de la butelie de 11kg amplasat pe suport metalic;</w:t>
            </w:r>
          </w:p>
          <w:p w14:paraId="59FE862B"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 tip gaz : tehnic propan/butan, tip B mix in butelie de 11kg</w:t>
            </w:r>
          </w:p>
          <w:p w14:paraId="146E0704"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 arzator exterior suplimentar cu rol de preincalzire</w:t>
            </w:r>
          </w:p>
          <w:p w14:paraId="5C0FE21E"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 termometru si termostat pentru controlul temperaturii de topire a masticului bituminos</w:t>
            </w:r>
          </w:p>
          <w:p w14:paraId="6862858B"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 dispozitiv aplicare pe fisura , talpa calcator de 6 cm latime</w:t>
            </w:r>
          </w:p>
          <w:p w14:paraId="26AA0DE0"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b/>
                <w:sz w:val="24"/>
                <w:szCs w:val="24"/>
              </w:rPr>
              <w:t>Sistem de incalzire</w:t>
            </w:r>
            <w:r w:rsidRPr="007D6434">
              <w:rPr>
                <w:rFonts w:ascii="Times New Roman" w:hAnsi="Times New Roman"/>
                <w:sz w:val="24"/>
                <w:szCs w:val="24"/>
              </w:rPr>
              <w:t>:</w:t>
            </w:r>
          </w:p>
          <w:p w14:paraId="64E2FED3"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lastRenderedPageBreak/>
              <w:t>-arzator cu flux vortex  la presiunea de 1,5 bar</w:t>
            </w:r>
          </w:p>
          <w:p w14:paraId="7356C42F" w14:textId="77777777" w:rsidR="001C641E" w:rsidRPr="007D6434"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-regulator presiune gaz : RBGP -1,5 bar</w:t>
            </w:r>
          </w:p>
          <w:p w14:paraId="62B12F9D" w14:textId="77777777" w:rsidR="001C641E" w:rsidRPr="005E4145" w:rsidRDefault="001C641E" w:rsidP="001C641E">
            <w:pPr>
              <w:autoSpaceDE w:val="0"/>
              <w:autoSpaceDN w:val="0"/>
              <w:adjustRightInd w:val="0"/>
              <w:spacing w:after="0" w:line="240" w:lineRule="auto"/>
              <w:jc w:val="both"/>
              <w:rPr>
                <w:rFonts w:ascii="Times New Roman" w:hAnsi="Times New Roman"/>
                <w:sz w:val="24"/>
                <w:szCs w:val="24"/>
              </w:rPr>
            </w:pPr>
            <w:r w:rsidRPr="007D6434">
              <w:rPr>
                <w:rFonts w:ascii="Times New Roman" w:hAnsi="Times New Roman"/>
                <w:sz w:val="24"/>
                <w:szCs w:val="24"/>
              </w:rPr>
              <w:t>-presiune de lucru : 0,10 – 0,12 Mpa</w:t>
            </w:r>
          </w:p>
          <w:p w14:paraId="427C93A5" w14:textId="77777777" w:rsidR="001C641E" w:rsidRPr="005E4145" w:rsidRDefault="001C641E" w:rsidP="001C641E">
            <w:pPr>
              <w:autoSpaceDE w:val="0"/>
              <w:autoSpaceDN w:val="0"/>
              <w:adjustRightInd w:val="0"/>
              <w:spacing w:after="0" w:line="240" w:lineRule="auto"/>
              <w:jc w:val="both"/>
              <w:rPr>
                <w:rFonts w:ascii="Times New Roman" w:hAnsi="Times New Roman"/>
                <w:sz w:val="24"/>
                <w:szCs w:val="24"/>
              </w:rPr>
            </w:pPr>
            <w:r w:rsidRPr="005E4145">
              <w:rPr>
                <w:rFonts w:ascii="Times New Roman" w:hAnsi="Times New Roman"/>
                <w:sz w:val="24"/>
                <w:szCs w:val="24"/>
              </w:rPr>
              <w:t>-consum de gaz:1,2 kg/ h</w:t>
            </w:r>
          </w:p>
          <w:p w14:paraId="4038F337" w14:textId="77777777" w:rsidR="001C641E" w:rsidRPr="005E4145" w:rsidRDefault="001C641E" w:rsidP="001C641E">
            <w:pPr>
              <w:autoSpaceDE w:val="0"/>
              <w:autoSpaceDN w:val="0"/>
              <w:adjustRightInd w:val="0"/>
              <w:spacing w:after="0" w:line="240" w:lineRule="auto"/>
              <w:jc w:val="both"/>
              <w:rPr>
                <w:rFonts w:ascii="Times New Roman" w:hAnsi="Times New Roman"/>
                <w:sz w:val="24"/>
                <w:szCs w:val="24"/>
              </w:rPr>
            </w:pPr>
            <w:r w:rsidRPr="005E4145">
              <w:rPr>
                <w:rFonts w:ascii="Times New Roman" w:hAnsi="Times New Roman"/>
                <w:sz w:val="24"/>
                <w:szCs w:val="24"/>
              </w:rPr>
              <w:t>-temperatua maxima de incalzire mastic bituminos:aproximativ 150°C</w:t>
            </w:r>
          </w:p>
          <w:p w14:paraId="5AC2EA71" w14:textId="61F6494B" w:rsidR="00E95F84" w:rsidRPr="001C641E" w:rsidRDefault="001C641E" w:rsidP="00620AD8">
            <w:pPr>
              <w:autoSpaceDE w:val="0"/>
              <w:autoSpaceDN w:val="0"/>
              <w:adjustRightInd w:val="0"/>
              <w:spacing w:after="0" w:line="240" w:lineRule="auto"/>
              <w:jc w:val="both"/>
            </w:pPr>
            <w:r w:rsidRPr="005E4145">
              <w:rPr>
                <w:rFonts w:ascii="Times New Roman" w:hAnsi="Times New Roman"/>
                <w:sz w:val="24"/>
                <w:szCs w:val="24"/>
              </w:rPr>
              <w:t xml:space="preserve">-timp de incalzire mastic solid la 110 °C : 2-3 ore </w:t>
            </w:r>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lastRenderedPageBreak/>
              <w:t>Nu este cazul]</w:t>
            </w:r>
          </w:p>
        </w:tc>
        <w:tc>
          <w:tcPr>
            <w:tcW w:w="1799" w:type="dxa"/>
          </w:tcPr>
          <w:p w14:paraId="1F9948B8" w14:textId="075DF071" w:rsidR="00E95F84" w:rsidRDefault="002359CA" w:rsidP="00E95F84">
            <w:pPr>
              <w:rPr>
                <w:lang w:val="ro-RO"/>
              </w:rPr>
            </w:pPr>
            <w:r>
              <w:rPr>
                <w:rFonts w:ascii="Times New Roman" w:hAnsi="Times New Roman" w:cs="Times New Roman"/>
                <w:bCs/>
                <w:sz w:val="20"/>
                <w:szCs w:val="20"/>
              </w:rPr>
              <w:t>Conform OUG 140/2021</w:t>
            </w:r>
          </w:p>
        </w:tc>
      </w:tr>
    </w:tbl>
    <w:p w14:paraId="49B40D52" w14:textId="77777777" w:rsidR="00A645A6"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lastRenderedPageBreak/>
        <w:t>Timp de funcționare a produsului (timpul în care acesta funcționează</w:t>
      </w:r>
      <w:r>
        <w:rPr>
          <w:rFonts w:ascii="Times New Roman" w:hAnsi="Times New Roman" w:cs="Times New Roman"/>
        </w:rPr>
        <w:t>) (</w:t>
      </w:r>
      <w:r>
        <w:rPr>
          <w:rFonts w:ascii="Times New Roman" w:hAnsi="Times New Roman" w:cs="Times New Roman"/>
          <w:i/>
        </w:rPr>
        <w:t>dacă este cazul)</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r w:rsidRPr="000914FB">
        <w:rPr>
          <w:rFonts w:asciiTheme="minorHAnsi" w:eastAsia="Calibri" w:hAnsiTheme="minorHAnsi" w:cstheme="minorHAnsi"/>
          <w:color w:val="auto"/>
          <w:lang w:val="fr-BE"/>
        </w:rPr>
        <w:t xml:space="preserve">Extensibilitate / Furnizarea de produse de generație superioară </w:t>
      </w:r>
      <w:r w:rsidRPr="000914FB">
        <w:rPr>
          <w:rFonts w:ascii="Times New Roman" w:hAnsi="Times New Roman" w:cs="Times New Roman"/>
          <w:lang w:val="fr-BE"/>
        </w:rPr>
        <w:t>(</w:t>
      </w:r>
      <w:r w:rsidRPr="000914FB">
        <w:rPr>
          <w:rFonts w:ascii="Times New Roman" w:hAnsi="Times New Roman" w:cs="Times New Roman"/>
          <w:i/>
          <w:lang w:val="fr-BE"/>
        </w:rPr>
        <w:t>dacă este cazul)</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Nu este cazul.</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Garantie / Termen de valabilitate</w:t>
      </w:r>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Livrare</w:t>
      </w:r>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Ambalare si etichetare</w:t>
      </w:r>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Modalitatea de indeplinire/realizare a operatiunilor cu titlu accesoriu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Instalare, testare, punere in functiune </w:t>
      </w:r>
    </w:p>
    <w:p w14:paraId="2C7FEA15"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instalare, testare si punere in functiune,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personal pentru utilizare </w:t>
      </w:r>
    </w:p>
    <w:p w14:paraId="4D3F4DF2" w14:textId="77777777" w:rsidR="00A645A6" w:rsidRDefault="00A645A6">
      <w:pPr>
        <w:pStyle w:val="ListParagraph"/>
        <w:spacing w:after="0" w:line="360" w:lineRule="exact"/>
        <w:ind w:left="1080"/>
        <w:rPr>
          <w:rFonts w:cstheme="minorHAnsi"/>
          <w:lang w:val="fr-BE"/>
        </w:rPr>
      </w:pPr>
    </w:p>
    <w:p w14:paraId="109E1E19"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300257">
        <w:rPr>
          <w:rFonts w:cstheme="minorHAnsi"/>
          <w:lang w:val="ro-RO"/>
        </w:rPr>
        <w:t xml:space="preserve">instruirea personalului pentru utilizare, </w:t>
      </w:r>
      <w:r w:rsidRPr="00300257">
        <w:rPr>
          <w:rFonts w:eastAsia="Calibri" w:cstheme="minorHAnsi"/>
          <w:lang w:val="ro-RO"/>
        </w:rPr>
        <w:t>î</w:t>
      </w:r>
      <w:r>
        <w:rPr>
          <w:rFonts w:eastAsia="Calibri" w:cstheme="minorHAnsi"/>
          <w:lang w:val="ro-RO"/>
        </w:rPr>
        <w:t>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Mentenanta preventiva in perioada de garantie </w:t>
      </w:r>
    </w:p>
    <w:p w14:paraId="15ED9343" w14:textId="6AB2F1B7" w:rsidR="00A645A6" w:rsidRDefault="00195F31" w:rsidP="00A441A5">
      <w:pPr>
        <w:spacing w:after="0" w:line="360" w:lineRule="exact"/>
        <w:jc w:val="both"/>
        <w:rPr>
          <w:rFonts w:cstheme="minorHAnsi"/>
          <w:lang w:val="fr-BE"/>
        </w:rPr>
      </w:pPr>
      <w:r>
        <w:rPr>
          <w:rFonts w:cstheme="minorHAnsi"/>
          <w:lang w:val="fr-BE"/>
        </w:rPr>
        <w:t xml:space="preserve">Ofertantul va prezenta </w:t>
      </w:r>
      <w:r w:rsidR="00A441A5">
        <w:rPr>
          <w:rFonts w:cstheme="minorHAnsi"/>
          <w:lang w:val="fr-BE"/>
        </w:rPr>
        <w:t xml:space="preserve">planul de intretinere, operatii de efectuat la interval de ore de functionare / echipament de mica mecanizare.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corectiva în perioada de garanție / post-garanție</w:t>
      </w:r>
    </w:p>
    <w:p w14:paraId="2AB216E9" w14:textId="5437EC23" w:rsidR="00A645A6" w:rsidRDefault="00A441A5">
      <w:pPr>
        <w:spacing w:after="0" w:line="360" w:lineRule="exact"/>
        <w:rPr>
          <w:rFonts w:cstheme="minorHAnsi"/>
          <w:lang w:val="fr-BE"/>
        </w:rPr>
      </w:pPr>
      <w:r>
        <w:rPr>
          <w:rFonts w:cstheme="minorHAnsi"/>
          <w:lang w:val="fr-BE"/>
        </w:rPr>
        <w:t>Nu este cazul.</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evolutivă în perioada de garanție / post-garanție</w:t>
      </w:r>
    </w:p>
    <w:p w14:paraId="4F3CDA5D" w14:textId="5D5891D3" w:rsidR="00A645A6" w:rsidRDefault="00A441A5">
      <w:pPr>
        <w:spacing w:after="0" w:line="360" w:lineRule="exact"/>
        <w:rPr>
          <w:rFonts w:cstheme="minorHAnsi"/>
          <w:lang w:val="fr-BE"/>
        </w:rPr>
      </w:pPr>
      <w:r>
        <w:rPr>
          <w:rFonts w:cstheme="minorHAnsi"/>
          <w:lang w:val="fr-BE"/>
        </w:rPr>
        <w:t xml:space="preserve">Nu este cazul.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Suport tehnic</w:t>
      </w:r>
    </w:p>
    <w:p w14:paraId="31B9AFD5" w14:textId="45703C71" w:rsidR="00A645A6" w:rsidRDefault="00195F31" w:rsidP="00A441A5">
      <w:pPr>
        <w:spacing w:after="0" w:line="360" w:lineRule="exact"/>
        <w:jc w:val="both"/>
        <w:rPr>
          <w:rFonts w:cstheme="minorHAnsi"/>
          <w:lang w:val="en-GB"/>
        </w:rPr>
      </w:pPr>
      <w:r>
        <w:rPr>
          <w:rFonts w:cstheme="minorHAnsi"/>
          <w:lang w:val="en-GB"/>
        </w:rPr>
        <w:t xml:space="preserve">Ofertantul va prezenta modalitatea de indeplinire a cerintelor referitoare la </w:t>
      </w:r>
      <w:r w:rsidRPr="00300257">
        <w:rPr>
          <w:rFonts w:cstheme="minorHAnsi"/>
          <w:lang w:val="en-GB"/>
        </w:rPr>
        <w:t>suportul tehnic</w:t>
      </w:r>
      <w:r>
        <w:rPr>
          <w:rFonts w:cstheme="minorHAnsi"/>
          <w:lang w:val="en-GB"/>
        </w:rPr>
        <w:t>,</w:t>
      </w:r>
      <w:r w:rsidR="00A441A5">
        <w:rPr>
          <w:rFonts w:cstheme="minorHAnsi"/>
          <w:lang w:val="en-GB"/>
        </w:rPr>
        <w:t xml:space="preserve">conform cerintelor din Caietul de Sarcini.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Piese de schimb si material consumabile pentru activitatile din programul de mentenanta corectiva dupa perioada de garantie  </w:t>
      </w:r>
    </w:p>
    <w:p w14:paraId="43C77218" w14:textId="5AEDD4DB" w:rsidR="00A645A6" w:rsidRDefault="00195F31" w:rsidP="00A441A5">
      <w:pPr>
        <w:spacing w:after="0" w:line="360" w:lineRule="exact"/>
        <w:jc w:val="both"/>
        <w:rPr>
          <w:rFonts w:cstheme="minorHAnsi"/>
          <w:lang w:val="fr-BE"/>
        </w:rPr>
      </w:pPr>
      <w:r>
        <w:rPr>
          <w:rFonts w:cstheme="minorHAnsi"/>
          <w:lang w:val="fr-BE"/>
        </w:rPr>
        <w:t xml:space="preserve">Ofertantul va prezenta modalitatea de indeplinire a cerintelor referitoare la </w:t>
      </w:r>
      <w:r w:rsidRPr="00300257">
        <w:rPr>
          <w:rFonts w:cstheme="minorHAnsi"/>
          <w:lang w:val="fr-BE"/>
        </w:rPr>
        <w:t>piese de schimb si material consumabile</w:t>
      </w:r>
      <w:r>
        <w:rPr>
          <w:rFonts w:cstheme="minorHAnsi"/>
          <w:lang w:val="fr-BE"/>
        </w:rPr>
        <w:t>,</w:t>
      </w:r>
      <w:r w:rsidR="00A441A5">
        <w:rPr>
          <w:rFonts w:cstheme="minorHAnsi"/>
          <w:lang w:val="fr-BE"/>
        </w:rPr>
        <w:t>conform cerintelor inscrise in Caietul de Sarcini.</w:t>
      </w:r>
      <w:r>
        <w:rPr>
          <w:rFonts w:cstheme="minorHAnsi"/>
          <w:lang w:val="fr-BE"/>
        </w:rPr>
        <w:t xml:space="preserve"> </w:t>
      </w:r>
    </w:p>
    <w:p w14:paraId="5570DAC2" w14:textId="77777777" w:rsidR="00A645A6" w:rsidRDefault="00A645A6">
      <w:pPr>
        <w:spacing w:after="0" w:line="360" w:lineRule="exact"/>
        <w:rPr>
          <w:rFonts w:cstheme="minorHAnsi"/>
          <w:lang w:val="fr-BE"/>
        </w:rPr>
      </w:pP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1" w:name="_Toc476924762"/>
      <w:r>
        <w:rPr>
          <w:rFonts w:asciiTheme="minorHAnsi" w:eastAsia="Calibri" w:hAnsiTheme="minorHAnsi" w:cstheme="minorHAnsi"/>
          <w:color w:val="auto"/>
          <w:sz w:val="22"/>
          <w:szCs w:val="22"/>
          <w:lang w:val="fr-BE"/>
        </w:rPr>
        <w:t xml:space="preserve">Adecvarea la constrangerile impuse de </w:t>
      </w:r>
      <w:bookmarkEnd w:id="1"/>
      <w:r>
        <w:rPr>
          <w:rFonts w:asciiTheme="minorHAnsi" w:eastAsia="Calibri" w:hAnsiTheme="minorHAnsi" w:cstheme="minorHAnsi"/>
          <w:color w:val="auto"/>
          <w:sz w:val="22"/>
          <w:szCs w:val="22"/>
          <w:lang w:val="fr-BE"/>
        </w:rPr>
        <w:t xml:space="preserve">locatia unde vor fi instalate / livrate produsele </w:t>
      </w:r>
      <w:r w:rsidR="00300257">
        <w:rPr>
          <w:rFonts w:asciiTheme="minorHAnsi" w:eastAsia="Calibri" w:hAnsiTheme="minorHAnsi" w:cstheme="minorHAnsi"/>
          <w:color w:val="auto"/>
          <w:sz w:val="22"/>
          <w:szCs w:val="22"/>
          <w:lang w:val="fr-BE"/>
        </w:rPr>
        <w:t xml:space="preserve"> -</w:t>
      </w:r>
      <w:r w:rsidR="00A441A5" w:rsidRPr="00300257">
        <w:rPr>
          <w:rFonts w:cstheme="minorHAnsi"/>
          <w:lang w:val="en-GB"/>
        </w:rPr>
        <w:t>Nu este cazul.</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Graficul de livrare  / implementare al contractului</w:t>
      </w:r>
    </w:p>
    <w:p w14:paraId="76AC6AFD" w14:textId="0275250D" w:rsidR="00A645A6" w:rsidRDefault="0081387A">
      <w:pPr>
        <w:spacing w:after="0" w:line="360" w:lineRule="exact"/>
        <w:rPr>
          <w:rFonts w:cstheme="minorHAnsi"/>
          <w:lang w:val="fr-BE"/>
        </w:rPr>
      </w:pPr>
      <w:r>
        <w:rPr>
          <w:rFonts w:cstheme="minorHAnsi"/>
          <w:lang w:val="fr-BE"/>
        </w:rPr>
        <w:t>Ofertantul isi va insusi cerintele din Caietul de Sarcini, cu privire la livrarea produselor de mica mecanizare.</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Managementul contractului</w:t>
      </w: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lastRenderedPageBreak/>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lastRenderedPageBreak/>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r w:rsidRPr="00300257">
        <w:rPr>
          <w:rFonts w:asciiTheme="minorHAnsi" w:eastAsia="Calibri" w:hAnsiTheme="minorHAnsi" w:cstheme="minorHAnsi"/>
          <w:color w:val="auto"/>
          <w:sz w:val="22"/>
          <w:szCs w:val="22"/>
          <w:lang w:val="fr-BE"/>
        </w:rPr>
        <w:t>Masuri aplicabile de Ofertant pe perioada Contractului pentru asigurarea îndeplinirii obligațiilor din domeniul mediului ce deriva din indeplinirea obiectului Contractului</w:t>
      </w:r>
      <w:bookmarkEnd w:id="2"/>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r>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3"/>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lastRenderedPageBreak/>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DD01AC" w:rsidRDefault="009A2B90" w:rsidP="009A2B90">
      <w:pPr>
        <w:pStyle w:val="Heading1"/>
        <w:rPr>
          <w:rFonts w:eastAsia="Times New Roman"/>
          <w:iCs/>
          <w:color w:val="FF8F32"/>
        </w:rPr>
      </w:pPr>
      <w:bookmarkStart w:id="4" w:name="_Toc476835385"/>
      <w:bookmarkEnd w:id="4"/>
      <w:r w:rsidRPr="00DD01AC">
        <w:rPr>
          <w:highlight w:val="lightGray"/>
          <w:lang w:val="ro-RO"/>
        </w:rPr>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Modul de prezentare al propunerii tehnice]</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&lt;&lt;Anexe-cu informatii solicitate de autoritatea contractanta</w:t>
      </w:r>
    </w:p>
    <w:p w14:paraId="4CF0EA89"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Planificarea fizică a activităților pe săptămâni</w:t>
      </w:r>
      <w:r w:rsidRPr="00723880">
        <w:rPr>
          <w:rFonts w:ascii="Times New Roman" w:hAnsi="Times New Roman"/>
          <w:bCs/>
          <w:sz w:val="24"/>
          <w:szCs w:val="24"/>
        </w:rPr>
        <w:t xml:space="preserve"> (graficul de implementare a contractului), cu indicarea tuturor fazelor/etapelor de realizare a acestora, în ordinea și succesiunea logică a evenimentelor (cu duratele de timp necesare pe activități și poziționarea în timp a acestora, timpul alocat pentru obtinerea avizelor de funcționare (</w:t>
      </w:r>
      <w:r w:rsidRPr="00723880">
        <w:rPr>
          <w:rFonts w:ascii="Times New Roman" w:hAnsi="Times New Roman"/>
          <w:bCs/>
          <w:i/>
          <w:iCs/>
          <w:sz w:val="24"/>
          <w:szCs w:val="24"/>
        </w:rPr>
        <w:t>dacă este cazul</w:t>
      </w:r>
      <w:r w:rsidRPr="00723880">
        <w:rPr>
          <w:rFonts w:ascii="Times New Roman" w:hAnsi="Times New Roman"/>
          <w:bCs/>
          <w:sz w:val="24"/>
          <w:szCs w:val="24"/>
        </w:rPr>
        <w:t>), precum si cu evidențierea punctelor de control/jaloanelor relevante pentru urmărirea realizărilor, respectiv intervalele de raportare aplicabile), împreună cu alocarea resurselor umane pe parcursul furnizării produselor/instalării echipamentelor ofertate (în funcție de responsabilitățile/atribuțiile deținute pentru realizarea fiecărei activități în parte), informații care vor trebui să probeze transpunerea prevederilor caietului de sarcini într-un plan de implementare fezabil. Această secțiune va conține, după caz, și planul de lucru cu asociații/subcontractanții în raport cu eventualele activități care urmează să fie derulate de către fiecare asociat/subcontractant în parte (cu evidențierea cel puțin a denumirii respectivelor entități);</w:t>
      </w:r>
    </w:p>
    <w:p w14:paraId="51626209" w14:textId="77777777" w:rsidR="009B7095" w:rsidRPr="00325842"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b) Evidențierea aspectelor care vor face obiectul evaluării tehnice, în conformitate cu factorii de evaluare stabiliți </w:t>
      </w:r>
      <w:r w:rsidRPr="00BF39E6">
        <w:rPr>
          <w:rFonts w:ascii="Times New Roman" w:hAnsi="Times New Roman"/>
          <w:b/>
          <w:sz w:val="24"/>
          <w:szCs w:val="24"/>
        </w:rPr>
        <w:t>–</w:t>
      </w:r>
      <w:r w:rsidRPr="00BF39E6">
        <w:rPr>
          <w:rFonts w:ascii="Times New Roman" w:eastAsia="Calibri" w:hAnsi="Times New Roman"/>
          <w:b/>
          <w:sz w:val="24"/>
          <w:szCs w:val="24"/>
        </w:rPr>
        <w:t xml:space="preserve"> Se va prezenta – o declaratie in care se va specifica termenul de livrare/onorare comanda, care va fi exprimat in numar zile, cu incadrarea in 1, 2 sau 3 luni de la data incheierii contractului,</w:t>
      </w:r>
      <w:r w:rsidRPr="00BF39E6">
        <w:rPr>
          <w:rFonts w:ascii="Times New Roman" w:hAnsi="Times New Roman"/>
          <w:b/>
          <w:sz w:val="24"/>
          <w:szCs w:val="24"/>
        </w:rPr>
        <w:t xml:space="preserve"> ce constituie factor de evaluare</w:t>
      </w:r>
      <w:r w:rsidRPr="00325842">
        <w:rPr>
          <w:rFonts w:ascii="Times New Roman" w:hAnsi="Times New Roman"/>
          <w:bCs/>
          <w:i/>
          <w:iCs/>
          <w:sz w:val="24"/>
          <w:szCs w:val="24"/>
        </w:rPr>
        <w:t>.</w:t>
      </w:r>
      <w:r w:rsidRPr="00325842">
        <w:rPr>
          <w:rFonts w:ascii="Times New Roman" w:hAnsi="Times New Roman"/>
          <w:bCs/>
          <w:sz w:val="24"/>
          <w:szCs w:val="24"/>
        </w:rPr>
        <w:t xml:space="preserve"> </w:t>
      </w:r>
    </w:p>
    <w:p w14:paraId="4657CC0F" w14:textId="77777777"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Se vor preciza inclusiv valorile/informațiile referitoare la locul din cadrul ofertei unde se regăsesc documentele/secțiunile aferente factorilor de evaluare ai propunerii tehnice. În cazul în care informațiile complete solicitate nu pot fi prezentate în cadrul acestei rubrici (ex informațiile se regăsesc în cadrul altor documente care prezintă caracteristicile, specificațiile tehnice și performanțele produsului cum ar fi fișa tehnică), respectivele informații se vor prezenta în cadrul unei secțiuni distincte a propunerii tehnice. În acest sens, ofertanții vor preciza cel puțin informațiile referitoare la locul (la nivel de număr pagină, capitol) din cadrul ofertei unde se regăsesc informațiile/documentele în baza cărora se vor aplica factorii de evaluare stabiliți, în conformitate cu criteriul de atribuire utilizat;</w:t>
      </w:r>
    </w:p>
    <w:p w14:paraId="313C3EA8"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lastRenderedPageBreak/>
        <w:t xml:space="preserve">c) </w:t>
      </w:r>
      <w:r w:rsidRPr="009B7095">
        <w:rPr>
          <w:rFonts w:ascii="Times New Roman" w:hAnsi="Times New Roman"/>
          <w:b/>
          <w:sz w:val="24"/>
          <w:szCs w:val="24"/>
        </w:rPr>
        <w:t>Angajamentul ofertantului</w:t>
      </w:r>
      <w:r w:rsidRPr="00723880">
        <w:rPr>
          <w:rFonts w:ascii="Times New Roman" w:hAnsi="Times New Roman"/>
          <w:bCs/>
          <w:sz w:val="24"/>
          <w:szCs w:val="24"/>
        </w:rPr>
        <w:t xml:space="preserve">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6F3C7963" w14:textId="53BBE415" w:rsidR="009B7095" w:rsidRP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r w:rsidRPr="009B7095">
        <w:rPr>
          <w:rFonts w:ascii="Times New Roman" w:hAnsi="Times New Roman"/>
          <w:b/>
          <w:sz w:val="24"/>
          <w:szCs w:val="24"/>
        </w:rPr>
        <w:t>Declarație pe proprie răspundere a ofertantului</w:t>
      </w:r>
      <w:r w:rsidRPr="00723880">
        <w:rPr>
          <w:rFonts w:ascii="Times New Roman" w:hAnsi="Times New Roman"/>
          <w:bCs/>
          <w:sz w:val="24"/>
          <w:szCs w:val="24"/>
        </w:rPr>
        <w:t xml:space="preserve">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va prezenta o declaratie din partea ofertantului</w:t>
      </w:r>
      <w:r>
        <w:rPr>
          <w:rFonts w:ascii="Times New Roman" w:hAnsi="Times New Roman"/>
          <w:b/>
          <w:sz w:val="24"/>
          <w:szCs w:val="24"/>
        </w:rPr>
        <w:t>;</w:t>
      </w:r>
    </w:p>
    <w:p w14:paraId="7E09BA4E"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563D3F8A"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7C1F" w14:textId="77777777" w:rsidR="001B72F1" w:rsidRDefault="001B72F1">
      <w:pPr>
        <w:spacing w:line="240" w:lineRule="auto"/>
      </w:pPr>
      <w:r>
        <w:separator/>
      </w:r>
    </w:p>
  </w:endnote>
  <w:endnote w:type="continuationSeparator" w:id="0">
    <w:p w14:paraId="70415739" w14:textId="77777777" w:rsidR="001B72F1" w:rsidRDefault="001B7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E7E9" w14:textId="77777777" w:rsidR="001B72F1" w:rsidRDefault="001B72F1">
      <w:pPr>
        <w:spacing w:after="0"/>
      </w:pPr>
      <w:r>
        <w:separator/>
      </w:r>
    </w:p>
  </w:footnote>
  <w:footnote w:type="continuationSeparator" w:id="0">
    <w:p w14:paraId="49FF5921" w14:textId="77777777" w:rsidR="001B72F1" w:rsidRDefault="001B72F1">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09ED"/>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71D4"/>
    <w:rsid w:val="001B72F1"/>
    <w:rsid w:val="001C0702"/>
    <w:rsid w:val="001C2015"/>
    <w:rsid w:val="001C4881"/>
    <w:rsid w:val="001C641E"/>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59CA"/>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E7158"/>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AD8"/>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D1291"/>
    <w:rsid w:val="007E188A"/>
    <w:rsid w:val="007E3002"/>
    <w:rsid w:val="007E5BFC"/>
    <w:rsid w:val="007E7EE9"/>
    <w:rsid w:val="007F2A7F"/>
    <w:rsid w:val="00807722"/>
    <w:rsid w:val="00810E07"/>
    <w:rsid w:val="00811744"/>
    <w:rsid w:val="0081387A"/>
    <w:rsid w:val="008174D0"/>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1E3E"/>
    <w:rsid w:val="009E6D1D"/>
    <w:rsid w:val="009F4F3E"/>
    <w:rsid w:val="009F5367"/>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65C1"/>
    <w:rsid w:val="00BA090C"/>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2B8B"/>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629C"/>
    <w:rsid w:val="00FC7345"/>
    <w:rsid w:val="00FD0231"/>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Aila</cp:lastModifiedBy>
  <cp:revision>28</cp:revision>
  <dcterms:created xsi:type="dcterms:W3CDTF">2023-10-08T17:30:00Z</dcterms:created>
  <dcterms:modified xsi:type="dcterms:W3CDTF">2023-10-09T09:51:00Z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